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7C403" w14:textId="77777777" w:rsidR="003932A4" w:rsidRPr="003932A4" w:rsidRDefault="003932A4" w:rsidP="003932A4">
      <w:pPr>
        <w:rPr>
          <w:b/>
          <w:bCs/>
        </w:rPr>
      </w:pPr>
      <w:r w:rsidRPr="003932A4">
        <w:rPr>
          <w:b/>
          <w:bCs/>
        </w:rPr>
        <w:t>Analytische interferenties bij laboratoriumonderzoek: geneesmiddelen en andere beïnvloedende stoffen</w:t>
      </w:r>
    </w:p>
    <w:p w14:paraId="28777F82" w14:textId="77777777" w:rsidR="003932A4" w:rsidRPr="003932A4" w:rsidRDefault="003932A4" w:rsidP="003932A4">
      <w:r w:rsidRPr="003932A4">
        <w:rPr>
          <w:b/>
          <w:bCs/>
        </w:rPr>
        <w:t>Betrouwbare laboratoriumuitslagen zijn essentieel voor een juiste diagnose en behandeling.</w:t>
      </w:r>
      <w:r w:rsidRPr="003932A4">
        <w:t xml:space="preserve"> Toch kunnen geneesmiddelen, voedingssupplementen, antistoffen en eigenschappen van een patiëntmonster de uitkomst van een laboratoriumbepaling beïnvloeden. Hierdoor kan een uitslag afwijken van de werkelijke concentratie of activiteit van de te meten stof.</w:t>
      </w:r>
    </w:p>
    <w:p w14:paraId="0B635E98" w14:textId="77777777" w:rsidR="003932A4" w:rsidRPr="003932A4" w:rsidRDefault="003932A4" w:rsidP="003932A4">
      <w:pPr>
        <w:rPr>
          <w:b/>
          <w:bCs/>
        </w:rPr>
      </w:pPr>
      <w:r w:rsidRPr="003932A4">
        <w:rPr>
          <w:b/>
          <w:bCs/>
        </w:rPr>
        <w:t>Wat is analytische interferentie?</w:t>
      </w:r>
    </w:p>
    <w:p w14:paraId="7E30A1D1" w14:textId="77777777" w:rsidR="003932A4" w:rsidRPr="003932A4" w:rsidRDefault="003932A4" w:rsidP="003932A4">
      <w:r w:rsidRPr="003932A4">
        <w:t>Van analytische interferentie is sprake wanneer een stof of bestanddeel in een patiëntmonster de gebruikte meetmethode beïnvloedt, waardoor een onjuiste of misleidende laboratoriumuitslag ontstaat. De gemeten waarde weerspiegelt dan niet uitsluitend de werkelijke hoeveelheid van de te bepalen stof.</w:t>
      </w:r>
    </w:p>
    <w:p w14:paraId="2ABCBC66" w14:textId="77777777" w:rsidR="003932A4" w:rsidRPr="003932A4" w:rsidRDefault="003932A4" w:rsidP="003932A4">
      <w:r w:rsidRPr="003932A4">
        <w:t>Dit onderscheid is belangrijk: een geneesmiddel kan een laboratoriumwaarde ook daadwerkelijk veranderen door zijn farmacologische werking. Dat is niet hetzelfde als analytische interferentie.</w:t>
      </w:r>
    </w:p>
    <w:p w14:paraId="25945712" w14:textId="77777777" w:rsidR="003932A4" w:rsidRPr="003932A4" w:rsidRDefault="003932A4" w:rsidP="003932A4">
      <w:r w:rsidRPr="003932A4">
        <w:t>De gevoeligheid voor interferentie verschilt per analysemethode, meetplatform, reagens en concentratie van de beïnvloedende stof. Een afwijkende uitslag hoeft daarom niet bij iedere methode op dezelfde manier op te treden.</w:t>
      </w:r>
    </w:p>
    <w:p w14:paraId="46DD01FD" w14:textId="77777777" w:rsidR="003932A4" w:rsidRPr="003932A4" w:rsidRDefault="003932A4" w:rsidP="003932A4">
      <w:pPr>
        <w:rPr>
          <w:b/>
          <w:bCs/>
        </w:rPr>
      </w:pPr>
      <w:r w:rsidRPr="003932A4">
        <w:rPr>
          <w:b/>
          <w:bCs/>
        </w:rPr>
        <w:t>Welke stoffen kunnen laboratoriumuitslagen beïnvloeden?</w:t>
      </w:r>
    </w:p>
    <w:p w14:paraId="27A22672" w14:textId="77777777" w:rsidR="003932A4" w:rsidRPr="003932A4" w:rsidRDefault="003932A4" w:rsidP="003932A4">
      <w:pPr>
        <w:rPr>
          <w:b/>
          <w:bCs/>
        </w:rPr>
      </w:pPr>
      <w:r w:rsidRPr="003932A4">
        <w:rPr>
          <w:b/>
          <w:bCs/>
        </w:rPr>
        <w:t xml:space="preserve">1. </w:t>
      </w:r>
      <w:proofErr w:type="spellStart"/>
      <w:r w:rsidRPr="003932A4">
        <w:rPr>
          <w:b/>
          <w:bCs/>
        </w:rPr>
        <w:t>Biotine</w:t>
      </w:r>
      <w:proofErr w:type="spellEnd"/>
      <w:r w:rsidRPr="003932A4">
        <w:rPr>
          <w:b/>
          <w:bCs/>
        </w:rPr>
        <w:t xml:space="preserve"> (vitamine B7)</w:t>
      </w:r>
    </w:p>
    <w:p w14:paraId="12A9AD99" w14:textId="77777777" w:rsidR="003932A4" w:rsidRPr="003932A4" w:rsidRDefault="003932A4" w:rsidP="003932A4">
      <w:proofErr w:type="spellStart"/>
      <w:r w:rsidRPr="003932A4">
        <w:t>Biotine</w:t>
      </w:r>
      <w:proofErr w:type="spellEnd"/>
      <w:r w:rsidRPr="003932A4">
        <w:t xml:space="preserve"> is aanwezig in multivitaminen en voedingssupplementen, waaronder producten voor haar, huid en nagels. Hoge concentraties </w:t>
      </w:r>
      <w:proofErr w:type="spellStart"/>
      <w:r w:rsidRPr="003932A4">
        <w:t>biotine</w:t>
      </w:r>
      <w:proofErr w:type="spellEnd"/>
      <w:r w:rsidRPr="003932A4">
        <w:t xml:space="preserve"> in het bloed kunnen bepaalde </w:t>
      </w:r>
      <w:proofErr w:type="spellStart"/>
      <w:r w:rsidRPr="003932A4">
        <w:t>immunoassays</w:t>
      </w:r>
      <w:proofErr w:type="spellEnd"/>
      <w:r w:rsidRPr="003932A4">
        <w:t xml:space="preserve"> verstoren, vooral wanneer deze gebruikmaken van de </w:t>
      </w:r>
      <w:proofErr w:type="spellStart"/>
      <w:r w:rsidRPr="003932A4">
        <w:t>streptavidine-biotinebinding</w:t>
      </w:r>
      <w:proofErr w:type="spellEnd"/>
      <w:r w:rsidRPr="003932A4">
        <w:t>.</w:t>
      </w:r>
    </w:p>
    <w:p w14:paraId="12757351" w14:textId="77777777" w:rsidR="003932A4" w:rsidRPr="003932A4" w:rsidRDefault="003932A4" w:rsidP="003932A4">
      <w:r w:rsidRPr="003932A4">
        <w:t>Afhankelijk van het meetprincipe kan dit leiden tot foutief verhoogde of verlaagde uitslagen. Mogelijk beïnvloede bepalingen zijn onder andere:</w:t>
      </w:r>
    </w:p>
    <w:p w14:paraId="3ED5AEC3" w14:textId="77777777" w:rsidR="003932A4" w:rsidRPr="003932A4" w:rsidRDefault="003932A4" w:rsidP="003932A4">
      <w:pPr>
        <w:numPr>
          <w:ilvl w:val="0"/>
          <w:numId w:val="1"/>
        </w:numPr>
      </w:pPr>
      <w:r w:rsidRPr="003932A4">
        <w:t>Schildklierfunctie: TSH, FT4 en FT3.</w:t>
      </w:r>
    </w:p>
    <w:p w14:paraId="269E3B7E" w14:textId="77777777" w:rsidR="003932A4" w:rsidRPr="003932A4" w:rsidRDefault="003932A4" w:rsidP="003932A4">
      <w:pPr>
        <w:numPr>
          <w:ilvl w:val="0"/>
          <w:numId w:val="1"/>
        </w:numPr>
      </w:pPr>
      <w:r w:rsidRPr="003932A4">
        <w:t xml:space="preserve">Hartmarkers: </w:t>
      </w:r>
      <w:proofErr w:type="spellStart"/>
      <w:r w:rsidRPr="003932A4">
        <w:t>troponine</w:t>
      </w:r>
      <w:proofErr w:type="spellEnd"/>
      <w:r w:rsidRPr="003932A4">
        <w:t xml:space="preserve"> en NT-</w:t>
      </w:r>
      <w:proofErr w:type="spellStart"/>
      <w:r w:rsidRPr="003932A4">
        <w:t>proBNP</w:t>
      </w:r>
      <w:proofErr w:type="spellEnd"/>
      <w:r w:rsidRPr="003932A4">
        <w:t>.</w:t>
      </w:r>
    </w:p>
    <w:p w14:paraId="1F5D23A5" w14:textId="77777777" w:rsidR="003932A4" w:rsidRPr="003932A4" w:rsidRDefault="003932A4" w:rsidP="003932A4">
      <w:pPr>
        <w:numPr>
          <w:ilvl w:val="0"/>
          <w:numId w:val="1"/>
        </w:numPr>
      </w:pPr>
      <w:r w:rsidRPr="003932A4">
        <w:t>Hormonen: PTH en bepaalde geslachtshormonen.</w:t>
      </w:r>
    </w:p>
    <w:p w14:paraId="532D46BC" w14:textId="77777777" w:rsidR="003932A4" w:rsidRPr="003932A4" w:rsidRDefault="003932A4" w:rsidP="003932A4">
      <w:pPr>
        <w:numPr>
          <w:ilvl w:val="0"/>
          <w:numId w:val="1"/>
        </w:numPr>
      </w:pPr>
      <w:r w:rsidRPr="003932A4">
        <w:t xml:space="preserve">Overige bepalingen: </w:t>
      </w:r>
      <w:proofErr w:type="spellStart"/>
      <w:r w:rsidRPr="003932A4">
        <w:t>ferritine</w:t>
      </w:r>
      <w:proofErr w:type="spellEnd"/>
      <w:r w:rsidRPr="003932A4">
        <w:t xml:space="preserve">, vitamine D, PSA en </w:t>
      </w:r>
      <w:proofErr w:type="spellStart"/>
      <w:r w:rsidRPr="003932A4">
        <w:t>hCG</w:t>
      </w:r>
      <w:proofErr w:type="spellEnd"/>
      <w:r w:rsidRPr="003932A4">
        <w:t>.</w:t>
      </w:r>
    </w:p>
    <w:p w14:paraId="718B0084" w14:textId="77777777" w:rsidR="003932A4" w:rsidRDefault="003932A4" w:rsidP="003932A4">
      <w:r w:rsidRPr="003932A4">
        <w:t xml:space="preserve">Met name </w:t>
      </w:r>
      <w:proofErr w:type="spellStart"/>
      <w:r w:rsidRPr="003932A4">
        <w:t>hooggedoseerde</w:t>
      </w:r>
      <w:proofErr w:type="spellEnd"/>
      <w:r w:rsidRPr="003932A4">
        <w:t xml:space="preserve"> </w:t>
      </w:r>
      <w:proofErr w:type="spellStart"/>
      <w:r w:rsidRPr="003932A4">
        <w:t>biotinesupplementen</w:t>
      </w:r>
      <w:proofErr w:type="spellEnd"/>
      <w:r w:rsidRPr="003932A4">
        <w:t xml:space="preserve"> verdienen bijzondere aandacht. Er bestaat geen universele doseringsgrens waaronder klinisch relevante interferentie bij alle </w:t>
      </w:r>
      <w:proofErr w:type="spellStart"/>
      <w:r w:rsidRPr="003932A4">
        <w:t>assays</w:t>
      </w:r>
      <w:proofErr w:type="spellEnd"/>
      <w:r w:rsidRPr="003932A4">
        <w:t xml:space="preserve"> kan worden uitgesloten.</w:t>
      </w:r>
      <w:r>
        <w:br/>
      </w:r>
    </w:p>
    <w:p w14:paraId="04F795D0" w14:textId="3798874A" w:rsidR="003932A4" w:rsidRPr="003932A4" w:rsidRDefault="003932A4" w:rsidP="003932A4">
      <w:r w:rsidRPr="003932A4">
        <w:rPr>
          <w:b/>
          <w:bCs/>
        </w:rPr>
        <w:t>Praktisch aandachtspunt:</w:t>
      </w:r>
      <w:r w:rsidRPr="003932A4">
        <w:t xml:space="preserve"> vraag bij een onverwachte uitslag naar het gebruik van </w:t>
      </w:r>
      <w:proofErr w:type="spellStart"/>
      <w:r w:rsidRPr="003932A4">
        <w:t>biotine</w:t>
      </w:r>
      <w:proofErr w:type="spellEnd"/>
      <w:r w:rsidRPr="003932A4">
        <w:t xml:space="preserve"> en controleer de interferentiegegevens van de gebruikte methode. Adviseer patiënten niet zelfstandig voorgeschreven </w:t>
      </w:r>
      <w:proofErr w:type="spellStart"/>
      <w:r w:rsidRPr="003932A4">
        <w:t>biotine</w:t>
      </w:r>
      <w:proofErr w:type="spellEnd"/>
      <w:r w:rsidRPr="003932A4">
        <w:t xml:space="preserve"> te stoppen; stem eventuele onderbreking en het tijdstip van herhaling af met de behandelaar en het laboratorium.</w:t>
      </w:r>
    </w:p>
    <w:p w14:paraId="293B068F" w14:textId="77777777" w:rsidR="003932A4" w:rsidRPr="003932A4" w:rsidRDefault="003932A4" w:rsidP="003932A4">
      <w:pPr>
        <w:rPr>
          <w:b/>
          <w:bCs/>
          <w:lang w:val="it-IT"/>
        </w:rPr>
      </w:pPr>
      <w:r w:rsidRPr="003932A4">
        <w:rPr>
          <w:b/>
          <w:bCs/>
          <w:lang w:val="it-IT"/>
        </w:rPr>
        <w:t xml:space="preserve">2. Direct </w:t>
      </w:r>
      <w:proofErr w:type="spellStart"/>
      <w:r w:rsidRPr="003932A4">
        <w:rPr>
          <w:b/>
          <w:bCs/>
          <w:lang w:val="it-IT"/>
        </w:rPr>
        <w:t>werkende</w:t>
      </w:r>
      <w:proofErr w:type="spellEnd"/>
      <w:r w:rsidRPr="003932A4">
        <w:rPr>
          <w:b/>
          <w:bCs/>
          <w:lang w:val="it-IT"/>
        </w:rPr>
        <w:t xml:space="preserve"> orale </w:t>
      </w:r>
      <w:proofErr w:type="spellStart"/>
      <w:r w:rsidRPr="003932A4">
        <w:rPr>
          <w:b/>
          <w:bCs/>
          <w:lang w:val="it-IT"/>
        </w:rPr>
        <w:t>anticoagulantia</w:t>
      </w:r>
      <w:proofErr w:type="spellEnd"/>
      <w:r w:rsidRPr="003932A4">
        <w:rPr>
          <w:b/>
          <w:bCs/>
          <w:lang w:val="it-IT"/>
        </w:rPr>
        <w:t xml:space="preserve"> (</w:t>
      </w:r>
      <w:proofErr w:type="spellStart"/>
      <w:r w:rsidRPr="003932A4">
        <w:rPr>
          <w:b/>
          <w:bCs/>
          <w:lang w:val="it-IT"/>
        </w:rPr>
        <w:t>DOAC's</w:t>
      </w:r>
      <w:proofErr w:type="spellEnd"/>
      <w:r w:rsidRPr="003932A4">
        <w:rPr>
          <w:b/>
          <w:bCs/>
          <w:lang w:val="it-IT"/>
        </w:rPr>
        <w:t>)</w:t>
      </w:r>
    </w:p>
    <w:p w14:paraId="5877660D" w14:textId="77777777" w:rsidR="003932A4" w:rsidRPr="003932A4" w:rsidRDefault="003932A4" w:rsidP="003932A4">
      <w:proofErr w:type="spellStart"/>
      <w:r w:rsidRPr="003932A4">
        <w:lastRenderedPageBreak/>
        <w:t>Apixaban</w:t>
      </w:r>
      <w:proofErr w:type="spellEnd"/>
      <w:r w:rsidRPr="003932A4">
        <w:t xml:space="preserve">, </w:t>
      </w:r>
      <w:proofErr w:type="spellStart"/>
      <w:r w:rsidRPr="003932A4">
        <w:t>rivaroxaban</w:t>
      </w:r>
      <w:proofErr w:type="spellEnd"/>
      <w:r w:rsidRPr="003932A4">
        <w:t xml:space="preserve">, </w:t>
      </w:r>
      <w:proofErr w:type="spellStart"/>
      <w:r w:rsidRPr="003932A4">
        <w:t>edoxaban</w:t>
      </w:r>
      <w:proofErr w:type="spellEnd"/>
      <w:r w:rsidRPr="003932A4">
        <w:t xml:space="preserve"> en </w:t>
      </w:r>
      <w:proofErr w:type="spellStart"/>
      <w:r w:rsidRPr="003932A4">
        <w:t>dabigatran</w:t>
      </w:r>
      <w:proofErr w:type="spellEnd"/>
      <w:r w:rsidRPr="003932A4">
        <w:t xml:space="preserve"> kunnen stollingsonderzoek beïnvloeden. Vooral bij de diagnostiek van lupus anticoagulans kan dit leiden tot fout-positieve of fout-negatieve resultaten.</w:t>
      </w:r>
    </w:p>
    <w:p w14:paraId="7792F336" w14:textId="77777777" w:rsidR="003932A4" w:rsidRPr="003932A4" w:rsidRDefault="003932A4" w:rsidP="003932A4">
      <w:r w:rsidRPr="003932A4">
        <w:t>Relevante bepalingen en onderzoeksmethoden zijn onder andere:</w:t>
      </w:r>
    </w:p>
    <w:p w14:paraId="5B894D6F" w14:textId="77777777" w:rsidR="003932A4" w:rsidRPr="003932A4" w:rsidRDefault="003932A4" w:rsidP="003932A4">
      <w:pPr>
        <w:numPr>
          <w:ilvl w:val="0"/>
          <w:numId w:val="2"/>
        </w:numPr>
      </w:pPr>
      <w:proofErr w:type="spellStart"/>
      <w:r w:rsidRPr="003932A4">
        <w:t>dRVVT</w:t>
      </w:r>
      <w:proofErr w:type="spellEnd"/>
      <w:r w:rsidRPr="003932A4">
        <w:t xml:space="preserve"> (</w:t>
      </w:r>
      <w:proofErr w:type="spellStart"/>
      <w:r w:rsidRPr="003932A4">
        <w:t>dilute</w:t>
      </w:r>
      <w:proofErr w:type="spellEnd"/>
      <w:r w:rsidRPr="003932A4">
        <w:t xml:space="preserve"> </w:t>
      </w:r>
      <w:proofErr w:type="spellStart"/>
      <w:r w:rsidRPr="003932A4">
        <w:t>Russell's</w:t>
      </w:r>
      <w:proofErr w:type="spellEnd"/>
      <w:r w:rsidRPr="003932A4">
        <w:t xml:space="preserve"> </w:t>
      </w:r>
      <w:proofErr w:type="spellStart"/>
      <w:r w:rsidRPr="003932A4">
        <w:t>viper</w:t>
      </w:r>
      <w:proofErr w:type="spellEnd"/>
      <w:r w:rsidRPr="003932A4">
        <w:t xml:space="preserve"> </w:t>
      </w:r>
      <w:proofErr w:type="spellStart"/>
      <w:r w:rsidRPr="003932A4">
        <w:t>venom</w:t>
      </w:r>
      <w:proofErr w:type="spellEnd"/>
      <w:r w:rsidRPr="003932A4">
        <w:t xml:space="preserve"> time).</w:t>
      </w:r>
    </w:p>
    <w:p w14:paraId="3D6C8E0A" w14:textId="77777777" w:rsidR="003932A4" w:rsidRPr="003932A4" w:rsidRDefault="003932A4" w:rsidP="003932A4">
      <w:pPr>
        <w:numPr>
          <w:ilvl w:val="0"/>
          <w:numId w:val="2"/>
        </w:numPr>
      </w:pPr>
      <w:r w:rsidRPr="003932A4">
        <w:t xml:space="preserve">Silica </w:t>
      </w:r>
      <w:proofErr w:type="spellStart"/>
      <w:r w:rsidRPr="003932A4">
        <w:t>clotting</w:t>
      </w:r>
      <w:proofErr w:type="spellEnd"/>
      <w:r w:rsidRPr="003932A4">
        <w:t xml:space="preserve"> time (SCT) en andere fosfolipideafhankelijke stollingstesten.</w:t>
      </w:r>
    </w:p>
    <w:p w14:paraId="640C5C51" w14:textId="77777777" w:rsidR="003932A4" w:rsidRPr="003932A4" w:rsidRDefault="003932A4" w:rsidP="003932A4">
      <w:pPr>
        <w:numPr>
          <w:ilvl w:val="0"/>
          <w:numId w:val="2"/>
        </w:numPr>
      </w:pPr>
      <w:r w:rsidRPr="003932A4">
        <w:t xml:space="preserve">Bepaalde functionele, met name </w:t>
      </w:r>
      <w:proofErr w:type="spellStart"/>
      <w:r w:rsidRPr="003932A4">
        <w:t>stollingstijdgebaseerde</w:t>
      </w:r>
      <w:proofErr w:type="spellEnd"/>
      <w:r w:rsidRPr="003932A4">
        <w:t xml:space="preserve"> bepalingen van stollingsfactoren en natuurlijke anticoagulantia, afhankelijk van het gebruikte assayprincipe.</w:t>
      </w:r>
    </w:p>
    <w:p w14:paraId="0891F2FF" w14:textId="493E8B6F" w:rsidR="003932A4" w:rsidRPr="003932A4" w:rsidRDefault="003932A4" w:rsidP="003932A4">
      <w:pPr>
        <w:ind w:left="360"/>
      </w:pPr>
    </w:p>
    <w:p w14:paraId="6223E08C" w14:textId="77777777" w:rsidR="003932A4" w:rsidRPr="003932A4" w:rsidRDefault="003932A4" w:rsidP="003932A4">
      <w:r w:rsidRPr="003932A4">
        <w:t>De mate van beïnvloeding verschilt per geneesmiddel en meetmethode. Ook de concentratie van het anticoagulans in het monster speelt een rol.</w:t>
      </w:r>
    </w:p>
    <w:p w14:paraId="156A58BE" w14:textId="77777777" w:rsidR="003932A4" w:rsidRPr="003932A4" w:rsidRDefault="003932A4" w:rsidP="003932A4">
      <w:r w:rsidRPr="003932A4">
        <w:rPr>
          <w:b/>
          <w:bCs/>
        </w:rPr>
        <w:t>Praktisch aandachtspunt:</w:t>
      </w:r>
      <w:r w:rsidRPr="003932A4">
        <w:t xml:space="preserve"> vermeld het gebruik van anticoagulantia bij de aanvraag en overleg met het laboratorium wanneer trombofilieonderzoek of lupus-anticoagulansdiagnostiek nodig is. Het afnemen, uitstellen of aanpassen van medicatie mag uitsluitend in overleg met de behandelaar plaatsvinden.</w:t>
      </w:r>
    </w:p>
    <w:p w14:paraId="2BDB2A7F" w14:textId="77777777" w:rsidR="003932A4" w:rsidRPr="003932A4" w:rsidRDefault="003932A4" w:rsidP="003932A4">
      <w:pPr>
        <w:rPr>
          <w:b/>
          <w:bCs/>
        </w:rPr>
      </w:pPr>
      <w:r w:rsidRPr="003932A4">
        <w:rPr>
          <w:b/>
          <w:bCs/>
        </w:rPr>
        <w:t>3. Therapeutische monoklonale antilichamen</w:t>
      </w:r>
    </w:p>
    <w:p w14:paraId="11FA09D4" w14:textId="77777777" w:rsidR="003932A4" w:rsidRPr="003932A4" w:rsidRDefault="003932A4" w:rsidP="003932A4">
      <w:r w:rsidRPr="003932A4">
        <w:t xml:space="preserve">Monoklonale antilichamen kunnen specifieke laboratoriumtechnieken beïnvloeden. Een bekend voorbeeld is </w:t>
      </w:r>
      <w:proofErr w:type="spellStart"/>
      <w:r w:rsidRPr="003932A4">
        <w:t>daratumumab</w:t>
      </w:r>
      <w:proofErr w:type="spellEnd"/>
      <w:r w:rsidRPr="003932A4">
        <w:t xml:space="preserve">, dat interfereert met bepaalde </w:t>
      </w:r>
      <w:proofErr w:type="spellStart"/>
      <w:r w:rsidRPr="003932A4">
        <w:t>immunohematologische</w:t>
      </w:r>
      <w:proofErr w:type="spellEnd"/>
      <w:r w:rsidRPr="003932A4">
        <w:t xml:space="preserve"> onderzoeken.</w:t>
      </w:r>
    </w:p>
    <w:p w14:paraId="4057CCA1" w14:textId="77777777" w:rsidR="003932A4" w:rsidRPr="003932A4" w:rsidRDefault="003932A4" w:rsidP="003932A4">
      <w:proofErr w:type="spellStart"/>
      <w:r w:rsidRPr="003932A4">
        <w:t>Daratumumab</w:t>
      </w:r>
      <w:proofErr w:type="spellEnd"/>
      <w:r w:rsidRPr="003932A4">
        <w:t xml:space="preserve"> kan onder meer leiden tot een positieve indirecte </w:t>
      </w:r>
      <w:proofErr w:type="spellStart"/>
      <w:r w:rsidRPr="003932A4">
        <w:t>antiglobulinetest</w:t>
      </w:r>
      <w:proofErr w:type="spellEnd"/>
      <w:r w:rsidRPr="003932A4">
        <w:t xml:space="preserve"> (indirecte </w:t>
      </w:r>
      <w:proofErr w:type="spellStart"/>
      <w:r w:rsidRPr="003932A4">
        <w:t>Coombs</w:t>
      </w:r>
      <w:proofErr w:type="spellEnd"/>
      <w:r w:rsidRPr="003932A4">
        <w:t>-test) en problemen veroorzaken bij antistofscreening en compatibiliteitsonderzoek vóór transfusie.</w:t>
      </w:r>
    </w:p>
    <w:p w14:paraId="03520253" w14:textId="77777777" w:rsidR="003932A4" w:rsidRPr="003932A4" w:rsidRDefault="003932A4" w:rsidP="003932A4">
      <w:r w:rsidRPr="003932A4">
        <w:t>Andere therapeutische antilichamen kunnen, afhankelijk van hun eigenschappen en de gebruikte meetmethode, eveneens invloed hebben op bepaalde immunologische bepalingen.</w:t>
      </w:r>
    </w:p>
    <w:p w14:paraId="7C2FE8B7" w14:textId="77777777" w:rsidR="003932A4" w:rsidRPr="003932A4" w:rsidRDefault="003932A4" w:rsidP="003932A4">
      <w:r w:rsidRPr="003932A4">
        <w:rPr>
          <w:b/>
          <w:bCs/>
        </w:rPr>
        <w:t>Praktisch aandachtspunt:</w:t>
      </w:r>
      <w:r w:rsidRPr="003932A4">
        <w:t xml:space="preserve"> leg relevante therapie vast en informeer het transfusielaboratorium tijdig wanneer een patiënt </w:t>
      </w:r>
      <w:proofErr w:type="spellStart"/>
      <w:r w:rsidRPr="003932A4">
        <w:t>daratumumab</w:t>
      </w:r>
      <w:proofErr w:type="spellEnd"/>
      <w:r w:rsidRPr="003932A4">
        <w:t xml:space="preserve"> gebruikt of heeft gebruikt.</w:t>
      </w:r>
    </w:p>
    <w:p w14:paraId="54FFA805" w14:textId="77777777" w:rsidR="003932A4" w:rsidRPr="003932A4" w:rsidRDefault="003932A4" w:rsidP="003932A4">
      <w:pPr>
        <w:rPr>
          <w:b/>
          <w:bCs/>
        </w:rPr>
      </w:pPr>
      <w:r w:rsidRPr="003932A4">
        <w:rPr>
          <w:b/>
          <w:bCs/>
        </w:rPr>
        <w:t>4. Heterofiele antistoffen en reumafactor</w:t>
      </w:r>
    </w:p>
    <w:p w14:paraId="6EDDBC2D" w14:textId="77777777" w:rsidR="003932A4" w:rsidRPr="003932A4" w:rsidRDefault="003932A4" w:rsidP="003932A4">
      <w:r w:rsidRPr="003932A4">
        <w:t>Heterofiele antistoffen zijn antistoffen die onbedoeld kunnen reageren met reagentia in immunologische tests. Reumafactor kan bij bepaalde methoden een vergelijkbaar probleem veroorzaken.</w:t>
      </w:r>
    </w:p>
    <w:p w14:paraId="4B890DEC" w14:textId="77777777" w:rsidR="003932A4" w:rsidRPr="003932A4" w:rsidRDefault="003932A4" w:rsidP="003932A4">
      <w:r w:rsidRPr="003932A4">
        <w:t>Mogelijk beïnvloede bepalingen zijn onder andere:</w:t>
      </w:r>
    </w:p>
    <w:p w14:paraId="63E7EF13" w14:textId="77777777" w:rsidR="003932A4" w:rsidRPr="003932A4" w:rsidRDefault="003932A4" w:rsidP="003932A4">
      <w:pPr>
        <w:numPr>
          <w:ilvl w:val="0"/>
          <w:numId w:val="3"/>
        </w:numPr>
      </w:pPr>
      <w:proofErr w:type="spellStart"/>
      <w:r w:rsidRPr="003932A4">
        <w:t>Troponine</w:t>
      </w:r>
      <w:proofErr w:type="spellEnd"/>
      <w:r w:rsidRPr="003932A4">
        <w:t>.</w:t>
      </w:r>
    </w:p>
    <w:p w14:paraId="53CB8BA9" w14:textId="77777777" w:rsidR="003932A4" w:rsidRPr="003932A4" w:rsidRDefault="003932A4" w:rsidP="003932A4">
      <w:pPr>
        <w:numPr>
          <w:ilvl w:val="0"/>
          <w:numId w:val="3"/>
        </w:numPr>
      </w:pPr>
      <w:r w:rsidRPr="003932A4">
        <w:t>TSH en prolactine.</w:t>
      </w:r>
    </w:p>
    <w:p w14:paraId="42B9B17B" w14:textId="77777777" w:rsidR="003932A4" w:rsidRPr="003932A4" w:rsidRDefault="003932A4" w:rsidP="003932A4">
      <w:pPr>
        <w:numPr>
          <w:ilvl w:val="0"/>
          <w:numId w:val="3"/>
        </w:numPr>
      </w:pPr>
      <w:proofErr w:type="spellStart"/>
      <w:r w:rsidRPr="003932A4">
        <w:t>hCG</w:t>
      </w:r>
      <w:proofErr w:type="spellEnd"/>
      <w:r w:rsidRPr="003932A4">
        <w:t>.</w:t>
      </w:r>
    </w:p>
    <w:p w14:paraId="68DA826A" w14:textId="77777777" w:rsidR="003932A4" w:rsidRPr="003932A4" w:rsidRDefault="003932A4" w:rsidP="003932A4">
      <w:pPr>
        <w:numPr>
          <w:ilvl w:val="0"/>
          <w:numId w:val="3"/>
        </w:numPr>
      </w:pPr>
      <w:r w:rsidRPr="003932A4">
        <w:t>PSA en andere tumormarkers.</w:t>
      </w:r>
    </w:p>
    <w:p w14:paraId="21CA0855" w14:textId="77777777" w:rsidR="003932A4" w:rsidRPr="003932A4" w:rsidRDefault="003932A4" w:rsidP="003932A4">
      <w:pPr>
        <w:numPr>
          <w:ilvl w:val="0"/>
          <w:numId w:val="3"/>
        </w:numPr>
      </w:pPr>
      <w:r w:rsidRPr="003932A4">
        <w:t>Bepaalde cytokinen en andere immunologische markers.</w:t>
      </w:r>
    </w:p>
    <w:p w14:paraId="5EAE66F7" w14:textId="77777777" w:rsidR="003932A4" w:rsidRPr="003932A4" w:rsidRDefault="003932A4" w:rsidP="003932A4">
      <w:r w:rsidRPr="003932A4">
        <w:lastRenderedPageBreak/>
        <w:t>De interferentie kan resulteren in een foutief verhoogde of verlaagde uitslag. Een uitslag die niet overeenkomt met het klinische beeld kan aanleiding zijn om deze mogelijkheid te onderzoeken.</w:t>
      </w:r>
    </w:p>
    <w:p w14:paraId="63B0F383" w14:textId="77777777" w:rsidR="003932A4" w:rsidRPr="003932A4" w:rsidRDefault="003932A4" w:rsidP="003932A4">
      <w:r w:rsidRPr="003932A4">
        <w:rPr>
          <w:b/>
          <w:bCs/>
        </w:rPr>
        <w:t>Praktisch aandachtspunt:</w:t>
      </w:r>
      <w:r w:rsidRPr="003932A4">
        <w:t xml:space="preserve"> bij een onverwachte of klinisch onaannemelijke uitslag kan het laboratorium, afhankelijk van de bepaling, een alternatieve meetmethode gebruiken of aanvullende interferentieonderzoeken uitvoeren.</w:t>
      </w:r>
    </w:p>
    <w:p w14:paraId="167AC401" w14:textId="77777777" w:rsidR="003932A4" w:rsidRPr="003932A4" w:rsidRDefault="003932A4" w:rsidP="003932A4">
      <w:pPr>
        <w:rPr>
          <w:b/>
          <w:bCs/>
        </w:rPr>
      </w:pPr>
      <w:r w:rsidRPr="003932A4">
        <w:rPr>
          <w:b/>
          <w:bCs/>
        </w:rPr>
        <w:t xml:space="preserve">5. Intravasculaire lipiden, hemolyse en </w:t>
      </w:r>
      <w:proofErr w:type="spellStart"/>
      <w:r w:rsidRPr="003932A4">
        <w:rPr>
          <w:b/>
          <w:bCs/>
        </w:rPr>
        <w:t>icterie</w:t>
      </w:r>
      <w:proofErr w:type="spellEnd"/>
    </w:p>
    <w:p w14:paraId="7EBE24EA" w14:textId="77777777" w:rsidR="003932A4" w:rsidRPr="003932A4" w:rsidRDefault="003932A4" w:rsidP="003932A4">
      <w:r w:rsidRPr="003932A4">
        <w:t>Ook de samenstelling van het patiëntmonster zelf kan de meting beïnvloeden.</w:t>
      </w:r>
    </w:p>
    <w:p w14:paraId="5F9B1AF1" w14:textId="77777777" w:rsidR="003932A4" w:rsidRPr="003932A4" w:rsidRDefault="003932A4" w:rsidP="003932A4">
      <w:pPr>
        <w:numPr>
          <w:ilvl w:val="0"/>
          <w:numId w:val="4"/>
        </w:numPr>
      </w:pPr>
      <w:r w:rsidRPr="003932A4">
        <w:rPr>
          <w:b/>
          <w:bCs/>
        </w:rPr>
        <w:t>Lipemie:</w:t>
      </w:r>
      <w:r w:rsidRPr="003932A4">
        <w:t xml:space="preserve"> een verhoogde hoeveelheid lipiden kan lichtverstrooiing veroorzaken en bepaalde </w:t>
      </w:r>
      <w:proofErr w:type="spellStart"/>
      <w:r w:rsidRPr="003932A4">
        <w:t>fotometrische</w:t>
      </w:r>
      <w:proofErr w:type="spellEnd"/>
      <w:r w:rsidRPr="003932A4">
        <w:t xml:space="preserve"> bepalingen verstoren.</w:t>
      </w:r>
    </w:p>
    <w:p w14:paraId="5C658C28" w14:textId="77777777" w:rsidR="003932A4" w:rsidRPr="003932A4" w:rsidRDefault="003932A4" w:rsidP="003932A4">
      <w:pPr>
        <w:numPr>
          <w:ilvl w:val="0"/>
          <w:numId w:val="4"/>
        </w:numPr>
      </w:pPr>
      <w:r w:rsidRPr="003932A4">
        <w:rPr>
          <w:b/>
          <w:bCs/>
        </w:rPr>
        <w:t>Hemolyse:</w:t>
      </w:r>
      <w:r w:rsidRPr="003932A4">
        <w:t xml:space="preserve"> het vrijkomen van intracellulaire bestanddelen uit erytrocyten kan bepaalde concentraties veranderen en daarnaast analytische interferentie veroorzaken.</w:t>
      </w:r>
    </w:p>
    <w:p w14:paraId="3EBEB6FE" w14:textId="77777777" w:rsidR="003932A4" w:rsidRPr="003932A4" w:rsidRDefault="003932A4" w:rsidP="003932A4">
      <w:pPr>
        <w:numPr>
          <w:ilvl w:val="0"/>
          <w:numId w:val="4"/>
        </w:numPr>
      </w:pPr>
      <w:proofErr w:type="spellStart"/>
      <w:r w:rsidRPr="003932A4">
        <w:rPr>
          <w:b/>
          <w:bCs/>
        </w:rPr>
        <w:t>Icterie</w:t>
      </w:r>
      <w:proofErr w:type="spellEnd"/>
      <w:r w:rsidRPr="003932A4">
        <w:rPr>
          <w:b/>
          <w:bCs/>
        </w:rPr>
        <w:t>:</w:t>
      </w:r>
      <w:r w:rsidRPr="003932A4">
        <w:t xml:space="preserve"> verhoogde bilirubineconcentraties kunnen bepaalde meetreacties beïnvloeden.</w:t>
      </w:r>
    </w:p>
    <w:p w14:paraId="357F0DA8" w14:textId="77777777" w:rsidR="003932A4" w:rsidRPr="003932A4" w:rsidRDefault="003932A4" w:rsidP="003932A4">
      <w:r w:rsidRPr="003932A4">
        <w:t xml:space="preserve">De gevolgen zijn afhankelijk van de </w:t>
      </w:r>
      <w:proofErr w:type="spellStart"/>
      <w:r w:rsidRPr="003932A4">
        <w:t>analyte</w:t>
      </w:r>
      <w:proofErr w:type="spellEnd"/>
      <w:r w:rsidRPr="003932A4">
        <w:t xml:space="preserve">, de mate van verstoring en de gebruikte methode. Bij hemolyse is bovendien onderscheid nodig tussen een werkelijke verandering van de gemeten concentratie door </w:t>
      </w:r>
      <w:proofErr w:type="spellStart"/>
      <w:r w:rsidRPr="003932A4">
        <w:t>celbeschadiging</w:t>
      </w:r>
      <w:proofErr w:type="spellEnd"/>
      <w:r w:rsidRPr="003932A4">
        <w:t xml:space="preserve"> en een rechtstreeks effect op de meetmethode.</w:t>
      </w:r>
    </w:p>
    <w:p w14:paraId="663BC8A3" w14:textId="77777777" w:rsidR="003932A4" w:rsidRPr="003932A4" w:rsidRDefault="003932A4" w:rsidP="003932A4">
      <w:r w:rsidRPr="003932A4">
        <w:rPr>
          <w:b/>
          <w:bCs/>
        </w:rPr>
        <w:t>Praktisch aandachtspunt:</w:t>
      </w:r>
      <w:r w:rsidRPr="003932A4">
        <w:t xml:space="preserve"> beoordeel de kwaliteit van het monster en de </w:t>
      </w:r>
      <w:proofErr w:type="spellStart"/>
      <w:r w:rsidRPr="003932A4">
        <w:t>methodegebonden</w:t>
      </w:r>
      <w:proofErr w:type="spellEnd"/>
      <w:r w:rsidRPr="003932A4">
        <w:t xml:space="preserve"> interferentiegrenzen voordat een uitslag wordt vrijgegeven of opnieuw wordt bepaald.</w:t>
      </w:r>
    </w:p>
    <w:p w14:paraId="1E8CF08E" w14:textId="77777777" w:rsidR="003932A4" w:rsidRPr="003932A4" w:rsidRDefault="003932A4" w:rsidP="003932A4">
      <w:pPr>
        <w:rPr>
          <w:b/>
          <w:bCs/>
        </w:rPr>
      </w:pPr>
      <w:r w:rsidRPr="003932A4">
        <w:rPr>
          <w:b/>
          <w:bCs/>
        </w:rPr>
        <w:t>6. Andere geneesmiddelen en stoffen</w:t>
      </w:r>
    </w:p>
    <w:p w14:paraId="57E81EBA" w14:textId="77777777" w:rsidR="00055748" w:rsidRPr="00055748" w:rsidRDefault="00055748" w:rsidP="00055748">
      <w:r w:rsidRPr="00055748">
        <w:t>Naast bovenstaande voorbeelden kunnen ook andere geneesmiddelen en stoffen bepaalde laboratoriumbepalingen beïnvloeden:</w:t>
      </w:r>
    </w:p>
    <w:p w14:paraId="7EEFBA3B" w14:textId="77777777" w:rsidR="00055748" w:rsidRPr="00055748" w:rsidRDefault="00055748" w:rsidP="00055748">
      <w:pPr>
        <w:numPr>
          <w:ilvl w:val="0"/>
          <w:numId w:val="8"/>
        </w:numPr>
      </w:pPr>
      <w:r w:rsidRPr="00055748">
        <w:rPr>
          <w:b/>
          <w:bCs/>
        </w:rPr>
        <w:t>Vitamine C in hoge concentraties:</w:t>
      </w:r>
      <w:r w:rsidRPr="00055748">
        <w:t xml:space="preserve"> kan bepaalde glucosemetingen en </w:t>
      </w:r>
      <w:proofErr w:type="spellStart"/>
      <w:r w:rsidRPr="00055748">
        <w:t>urineteststrips</w:t>
      </w:r>
      <w:proofErr w:type="spellEnd"/>
      <w:r w:rsidRPr="00055748">
        <w:t xml:space="preserve"> beïnvloeden. De richting van de afwijking is afhankelijk van de gebruikte methode.</w:t>
      </w:r>
    </w:p>
    <w:p w14:paraId="4DC86284" w14:textId="77777777" w:rsidR="00055748" w:rsidRPr="00055748" w:rsidRDefault="00055748" w:rsidP="00055748">
      <w:pPr>
        <w:numPr>
          <w:ilvl w:val="0"/>
          <w:numId w:val="8"/>
        </w:numPr>
      </w:pPr>
      <w:r w:rsidRPr="00055748">
        <w:rPr>
          <w:b/>
          <w:bCs/>
        </w:rPr>
        <w:t>Paracetamol:</w:t>
      </w:r>
      <w:r w:rsidRPr="00055748">
        <w:t xml:space="preserve"> kan interfereren met bepaalde elektrochemische meetmethoden, waaronder specifieke glucosemeetsystemen.</w:t>
      </w:r>
    </w:p>
    <w:p w14:paraId="1B78502D" w14:textId="77777777" w:rsidR="00055748" w:rsidRPr="00055748" w:rsidRDefault="00055748" w:rsidP="00055748">
      <w:pPr>
        <w:numPr>
          <w:ilvl w:val="0"/>
          <w:numId w:val="8"/>
        </w:numPr>
      </w:pPr>
      <w:r w:rsidRPr="00055748">
        <w:rPr>
          <w:b/>
          <w:bCs/>
        </w:rPr>
        <w:t>N-acetylcysteïne (NAC):</w:t>
      </w:r>
      <w:r w:rsidRPr="00055748">
        <w:t xml:space="preserve"> kan, afhankelijk van de gebruikte methode, bepaalde klinisch-chemische bepalingen beïnvloeden.</w:t>
      </w:r>
    </w:p>
    <w:p w14:paraId="71A8893D" w14:textId="77777777" w:rsidR="00055748" w:rsidRPr="00055748" w:rsidRDefault="00055748" w:rsidP="00055748">
      <w:pPr>
        <w:numPr>
          <w:ilvl w:val="0"/>
          <w:numId w:val="8"/>
        </w:numPr>
      </w:pPr>
      <w:proofErr w:type="spellStart"/>
      <w:r w:rsidRPr="00055748">
        <w:rPr>
          <w:b/>
          <w:bCs/>
        </w:rPr>
        <w:t>Hydroxyureum</w:t>
      </w:r>
      <w:proofErr w:type="spellEnd"/>
      <w:r w:rsidRPr="00055748">
        <w:rPr>
          <w:b/>
          <w:bCs/>
        </w:rPr>
        <w:t>:</w:t>
      </w:r>
      <w:r w:rsidRPr="00055748">
        <w:t xml:space="preserve"> kan specifieke meetmethoden beïnvloeden, waaronder bepaalde glucosemeetsystemen.</w:t>
      </w:r>
    </w:p>
    <w:p w14:paraId="69A5E085" w14:textId="77777777" w:rsidR="00055748" w:rsidRPr="00055748" w:rsidRDefault="00055748" w:rsidP="00055748">
      <w:pPr>
        <w:numPr>
          <w:ilvl w:val="0"/>
          <w:numId w:val="8"/>
        </w:numPr>
      </w:pPr>
      <w:r w:rsidRPr="00055748">
        <w:rPr>
          <w:b/>
          <w:bCs/>
        </w:rPr>
        <w:t>Levodopa en methyldopa:</w:t>
      </w:r>
      <w:r w:rsidRPr="00055748">
        <w:t xml:space="preserve"> kunnen bij specifieke bepalingen of </w:t>
      </w:r>
      <w:proofErr w:type="spellStart"/>
      <w:r w:rsidRPr="00055748">
        <w:t>immunohematologische</w:t>
      </w:r>
      <w:proofErr w:type="spellEnd"/>
      <w:r w:rsidRPr="00055748">
        <w:t xml:space="preserve"> onderzoeken tot afwijkende resultaten leiden.</w:t>
      </w:r>
    </w:p>
    <w:p w14:paraId="1BA335CB" w14:textId="77777777" w:rsidR="00055748" w:rsidRPr="00055748" w:rsidRDefault="00055748" w:rsidP="00055748">
      <w:r w:rsidRPr="00055748">
        <w:t xml:space="preserve">Voor deze stoffen geldt dat gebruik ervan </w:t>
      </w:r>
      <w:r w:rsidRPr="00055748">
        <w:rPr>
          <w:b/>
          <w:bCs/>
        </w:rPr>
        <w:t>niet automatisch betekent dat een laboratoriumuitslag onbetrouwbaar is</w:t>
      </w:r>
      <w:r w:rsidRPr="00055748">
        <w:t xml:space="preserve">. De aard en mate van interferentie zijn afhankelijk van onder andere de concentratie en de gebruikte analysemethode. De </w:t>
      </w:r>
      <w:proofErr w:type="spellStart"/>
      <w:r w:rsidRPr="00055748">
        <w:t>productspecifieke</w:t>
      </w:r>
      <w:proofErr w:type="spellEnd"/>
      <w:r w:rsidRPr="00055748">
        <w:t xml:space="preserve"> interferentiegegevens van de betreffende laboratoriummethode zijn daarom leidend.</w:t>
      </w:r>
    </w:p>
    <w:p w14:paraId="4A3FA8AF" w14:textId="77777777" w:rsidR="003932A4" w:rsidRPr="003932A4" w:rsidRDefault="003932A4" w:rsidP="003932A4">
      <w:pPr>
        <w:rPr>
          <w:b/>
          <w:bCs/>
        </w:rPr>
      </w:pPr>
      <w:r w:rsidRPr="003932A4">
        <w:rPr>
          <w:b/>
          <w:bCs/>
        </w:rPr>
        <w:t>Welke laboratoriumdisciplines verdienen extra aandacht?</w:t>
      </w:r>
    </w:p>
    <w:p w14:paraId="07372BD4" w14:textId="77777777" w:rsidR="003932A4" w:rsidRPr="003932A4" w:rsidRDefault="003932A4" w:rsidP="003932A4">
      <w:r w:rsidRPr="003932A4">
        <w:t>Analytische interferentie kan voorkomen binnen meerdere laboratoriumdisciplines:</w:t>
      </w:r>
    </w:p>
    <w:p w14:paraId="6A9906DB" w14:textId="77777777" w:rsidR="003932A4" w:rsidRPr="003932A4" w:rsidRDefault="003932A4" w:rsidP="003932A4">
      <w:pPr>
        <w:numPr>
          <w:ilvl w:val="0"/>
          <w:numId w:val="6"/>
        </w:numPr>
      </w:pPr>
      <w:r w:rsidRPr="003932A4">
        <w:rPr>
          <w:b/>
          <w:bCs/>
        </w:rPr>
        <w:lastRenderedPageBreak/>
        <w:t>Endocrinologie:</w:t>
      </w:r>
      <w:r w:rsidRPr="003932A4">
        <w:t xml:space="preserve"> schildklierhormonen, PTH, cortisol en prolactine.</w:t>
      </w:r>
    </w:p>
    <w:p w14:paraId="0BA8EB29" w14:textId="77777777" w:rsidR="003932A4" w:rsidRPr="003932A4" w:rsidRDefault="003932A4" w:rsidP="003932A4">
      <w:pPr>
        <w:numPr>
          <w:ilvl w:val="0"/>
          <w:numId w:val="6"/>
        </w:numPr>
      </w:pPr>
      <w:r w:rsidRPr="003932A4">
        <w:rPr>
          <w:b/>
          <w:bCs/>
        </w:rPr>
        <w:t>Cardiologie:</w:t>
      </w:r>
      <w:r w:rsidRPr="003932A4">
        <w:t xml:space="preserve"> </w:t>
      </w:r>
      <w:proofErr w:type="spellStart"/>
      <w:r w:rsidRPr="003932A4">
        <w:t>troponine</w:t>
      </w:r>
      <w:proofErr w:type="spellEnd"/>
      <w:r w:rsidRPr="003932A4">
        <w:t>, BNP en NT-</w:t>
      </w:r>
      <w:proofErr w:type="spellStart"/>
      <w:r w:rsidRPr="003932A4">
        <w:t>proBNP</w:t>
      </w:r>
      <w:proofErr w:type="spellEnd"/>
      <w:r w:rsidRPr="003932A4">
        <w:t>.</w:t>
      </w:r>
    </w:p>
    <w:p w14:paraId="6A523113" w14:textId="77777777" w:rsidR="003932A4" w:rsidRPr="003932A4" w:rsidRDefault="003932A4" w:rsidP="003932A4">
      <w:pPr>
        <w:numPr>
          <w:ilvl w:val="0"/>
          <w:numId w:val="6"/>
        </w:numPr>
      </w:pPr>
      <w:r w:rsidRPr="003932A4">
        <w:rPr>
          <w:b/>
          <w:bCs/>
        </w:rPr>
        <w:t>Tumormarkers:</w:t>
      </w:r>
      <w:r w:rsidRPr="003932A4">
        <w:t xml:space="preserve"> PSA, CA 125, CA 19-9 en CEA.</w:t>
      </w:r>
    </w:p>
    <w:p w14:paraId="6E31940B" w14:textId="77777777" w:rsidR="003932A4" w:rsidRPr="003932A4" w:rsidRDefault="003932A4" w:rsidP="003932A4">
      <w:pPr>
        <w:numPr>
          <w:ilvl w:val="0"/>
          <w:numId w:val="6"/>
        </w:numPr>
      </w:pPr>
      <w:r w:rsidRPr="003932A4">
        <w:rPr>
          <w:b/>
          <w:bCs/>
        </w:rPr>
        <w:t>Hemostase:</w:t>
      </w:r>
      <w:r w:rsidRPr="003932A4">
        <w:t xml:space="preserve"> </w:t>
      </w:r>
      <w:proofErr w:type="spellStart"/>
      <w:r w:rsidRPr="003932A4">
        <w:t>dRVVT</w:t>
      </w:r>
      <w:proofErr w:type="spellEnd"/>
      <w:r w:rsidRPr="003932A4">
        <w:t>, lupus anticoagulans en functionele bepalingen van natuurlijke anticoagulantia.</w:t>
      </w:r>
    </w:p>
    <w:p w14:paraId="7F096AA5" w14:textId="77777777" w:rsidR="003932A4" w:rsidRPr="003932A4" w:rsidRDefault="003932A4" w:rsidP="003932A4">
      <w:pPr>
        <w:numPr>
          <w:ilvl w:val="0"/>
          <w:numId w:val="6"/>
        </w:numPr>
      </w:pPr>
      <w:r w:rsidRPr="003932A4">
        <w:rPr>
          <w:b/>
          <w:bCs/>
        </w:rPr>
        <w:t>Immunologie en serologie:</w:t>
      </w:r>
      <w:r w:rsidRPr="003932A4">
        <w:t xml:space="preserve"> bepaalde antistof- en </w:t>
      </w:r>
      <w:proofErr w:type="spellStart"/>
      <w:r w:rsidRPr="003932A4">
        <w:t>infectiediagnostische</w:t>
      </w:r>
      <w:proofErr w:type="spellEnd"/>
      <w:r w:rsidRPr="003932A4">
        <w:t xml:space="preserve"> tests.</w:t>
      </w:r>
    </w:p>
    <w:p w14:paraId="274D3780" w14:textId="77777777" w:rsidR="003932A4" w:rsidRPr="003932A4" w:rsidRDefault="003932A4" w:rsidP="003932A4">
      <w:pPr>
        <w:numPr>
          <w:ilvl w:val="0"/>
          <w:numId w:val="6"/>
        </w:numPr>
      </w:pPr>
      <w:r w:rsidRPr="003932A4">
        <w:rPr>
          <w:b/>
          <w:bCs/>
        </w:rPr>
        <w:t>Klinische chemie:</w:t>
      </w:r>
      <w:r w:rsidRPr="003932A4">
        <w:t xml:space="preserve"> onder andere glucose, creatinine en bilirubine.</w:t>
      </w:r>
    </w:p>
    <w:p w14:paraId="5856F135" w14:textId="186969B1" w:rsidR="003932A4" w:rsidRPr="003932A4" w:rsidRDefault="003932A4" w:rsidP="003932A4">
      <w:pPr>
        <w:rPr>
          <w:b/>
          <w:bCs/>
        </w:rPr>
      </w:pPr>
      <w:r w:rsidRPr="003932A4">
        <w:rPr>
          <w:b/>
          <w:bCs/>
        </w:rPr>
        <w:t>Deze opsomming is niet uitputtend. De gevoeligheid voor interferentie moet steeds per analysemethode worden beoordeeld.</w:t>
      </w:r>
      <w:r>
        <w:rPr>
          <w:b/>
          <w:bCs/>
        </w:rPr>
        <w:br/>
      </w:r>
    </w:p>
    <w:p w14:paraId="1A705194" w14:textId="77777777" w:rsidR="003932A4" w:rsidRPr="003932A4" w:rsidRDefault="003932A4" w:rsidP="003932A4">
      <w:pPr>
        <w:rPr>
          <w:b/>
          <w:bCs/>
        </w:rPr>
      </w:pPr>
      <w:r w:rsidRPr="003932A4">
        <w:rPr>
          <w:b/>
          <w:bCs/>
        </w:rPr>
        <w:t>Hoe kan een laboratorium analytische interferentie herkennen en beperken?</w:t>
      </w:r>
    </w:p>
    <w:p w14:paraId="61F64DA4" w14:textId="77777777" w:rsidR="003932A4" w:rsidRPr="003932A4" w:rsidRDefault="003932A4" w:rsidP="003932A4">
      <w:r w:rsidRPr="003932A4">
        <w:t>Een systematische aanpak helpt om onjuiste uitslagen tijdig te herkennen en de betrouwbaarheid van laboratoriumonderzoek te bewaken.</w:t>
      </w:r>
    </w:p>
    <w:p w14:paraId="410D733B" w14:textId="77777777" w:rsidR="003932A4" w:rsidRPr="003932A4" w:rsidRDefault="003932A4" w:rsidP="003932A4">
      <w:pPr>
        <w:numPr>
          <w:ilvl w:val="0"/>
          <w:numId w:val="7"/>
        </w:numPr>
      </w:pPr>
      <w:r w:rsidRPr="003932A4">
        <w:rPr>
          <w:b/>
          <w:bCs/>
        </w:rPr>
        <w:t>Breng risicofactoren in kaart.</w:t>
      </w:r>
      <w:r w:rsidRPr="003932A4">
        <w:t xml:space="preserve"> Besteed aandacht aan medicatie, voedingssupplementen, infusies en relevante eigenschappen van het patiëntmonster.</w:t>
      </w:r>
    </w:p>
    <w:p w14:paraId="3C0A726E" w14:textId="77777777" w:rsidR="003932A4" w:rsidRPr="003932A4" w:rsidRDefault="003932A4" w:rsidP="003932A4">
      <w:pPr>
        <w:numPr>
          <w:ilvl w:val="0"/>
          <w:numId w:val="7"/>
        </w:numPr>
      </w:pPr>
      <w:r w:rsidRPr="003932A4">
        <w:rPr>
          <w:b/>
          <w:bCs/>
        </w:rPr>
        <w:t>Raadpleeg de documentatie van de fabrikant.</w:t>
      </w:r>
      <w:r w:rsidRPr="003932A4">
        <w:t xml:space="preserve"> Controleer interferentiegrenzen, bekende effecten en eventuele beperkingen van de specifieke methode.</w:t>
      </w:r>
    </w:p>
    <w:p w14:paraId="77D4B130" w14:textId="77777777" w:rsidR="003932A4" w:rsidRPr="003932A4" w:rsidRDefault="003932A4" w:rsidP="003932A4">
      <w:pPr>
        <w:numPr>
          <w:ilvl w:val="0"/>
          <w:numId w:val="7"/>
        </w:numPr>
      </w:pPr>
      <w:r w:rsidRPr="003932A4">
        <w:rPr>
          <w:b/>
          <w:bCs/>
        </w:rPr>
        <w:t>Beoordeel de plausibiliteit van de uitslag.</w:t>
      </w:r>
      <w:r w:rsidRPr="003932A4">
        <w:t xml:space="preserve"> Let op onverwachte veranderingen, discrepanties tussen gerelateerde bepalingen en verschillen met het klinische beeld.</w:t>
      </w:r>
    </w:p>
    <w:p w14:paraId="359E665D" w14:textId="77777777" w:rsidR="003932A4" w:rsidRPr="003932A4" w:rsidRDefault="003932A4" w:rsidP="003932A4">
      <w:pPr>
        <w:numPr>
          <w:ilvl w:val="0"/>
          <w:numId w:val="7"/>
        </w:numPr>
      </w:pPr>
      <w:r w:rsidRPr="003932A4">
        <w:rPr>
          <w:b/>
          <w:bCs/>
        </w:rPr>
        <w:t>Onderzoek een vermoeden gericht.</w:t>
      </w:r>
      <w:r w:rsidRPr="003932A4">
        <w:t xml:space="preserve"> Afhankelijk van de bepaling kan dit bestaan uit herhaling, aanvullende monsterbeoordeling, een gevalideerde voorbehandeling of analyse met een andere methode.</w:t>
      </w:r>
    </w:p>
    <w:p w14:paraId="18C9D53B" w14:textId="77777777" w:rsidR="003932A4" w:rsidRPr="003932A4" w:rsidRDefault="003932A4" w:rsidP="003932A4">
      <w:pPr>
        <w:numPr>
          <w:ilvl w:val="0"/>
          <w:numId w:val="7"/>
        </w:numPr>
      </w:pPr>
      <w:r w:rsidRPr="003932A4">
        <w:rPr>
          <w:b/>
          <w:bCs/>
        </w:rPr>
        <w:t>Leg bevindingen vast.</w:t>
      </w:r>
      <w:r w:rsidRPr="003932A4">
        <w:t xml:space="preserve"> Documenteer bekende interferenties, de gevolgde verificatieprocedure en relevante rapportageafspraken.</w:t>
      </w:r>
    </w:p>
    <w:p w14:paraId="1205EAF0" w14:textId="77777777" w:rsidR="003932A4" w:rsidRPr="003932A4" w:rsidRDefault="003932A4" w:rsidP="003932A4">
      <w:pPr>
        <w:numPr>
          <w:ilvl w:val="0"/>
          <w:numId w:val="7"/>
        </w:numPr>
      </w:pPr>
      <w:r w:rsidRPr="003932A4">
        <w:rPr>
          <w:b/>
          <w:bCs/>
        </w:rPr>
        <w:t>Informeer de aanvrager wanneer dat nodig is.</w:t>
      </w:r>
      <w:r w:rsidRPr="003932A4">
        <w:t xml:space="preserve"> Bespreek de mogelijke invloed op de interpretatie en vermeld relevante beperkingen in de rapportage.</w:t>
      </w:r>
    </w:p>
    <w:p w14:paraId="0812BD00" w14:textId="77777777" w:rsidR="003932A4" w:rsidRPr="003932A4" w:rsidRDefault="003932A4" w:rsidP="003932A4">
      <w:pPr>
        <w:rPr>
          <w:b/>
          <w:bCs/>
        </w:rPr>
      </w:pPr>
      <w:r w:rsidRPr="003932A4">
        <w:rPr>
          <w:b/>
          <w:bCs/>
        </w:rPr>
        <w:t>Kwaliteit en ISO 15189</w:t>
      </w:r>
    </w:p>
    <w:p w14:paraId="51E96B3C" w14:textId="77777777" w:rsidR="003932A4" w:rsidRPr="003932A4" w:rsidRDefault="003932A4" w:rsidP="003932A4">
      <w:r w:rsidRPr="003932A4">
        <w:t>ISO 15189:2022 beschrijft eisen voor de kwaliteit en competentie van medische laboratoria. Een gestructureerde beheersing van analytische interferenties past binnen het bredere kwaliteitsmanagement van een laboratorium.</w:t>
      </w:r>
    </w:p>
    <w:p w14:paraId="02C3CC85" w14:textId="55798CD7" w:rsidR="003932A4" w:rsidRPr="003932A4" w:rsidRDefault="007963CE" w:rsidP="003932A4">
      <w:r w:rsidRPr="007963CE">
        <w:t>Een mogelijke praktische maatregel binnen het kwaliteitsmanagement is het bijhouden van een interferentieoverzicht of -database per analysemethode en meetplatform.</w:t>
      </w:r>
      <w:r>
        <w:t xml:space="preserve"> </w:t>
      </w:r>
      <w:r w:rsidR="003932A4" w:rsidRPr="003932A4">
        <w:t>Daarin kunnen onder meer bekende interfererende stoffen, relevante concentratiegrenzen, de richting van het effect, de bron van de informatie, de verificatiestatus en de aanbevolen vervolgacties worden opgenomen.</w:t>
      </w:r>
    </w:p>
    <w:p w14:paraId="2C89B720" w14:textId="77777777" w:rsidR="003932A4" w:rsidRPr="003932A4" w:rsidRDefault="003932A4" w:rsidP="003932A4">
      <w:r w:rsidRPr="003932A4">
        <w:lastRenderedPageBreak/>
        <w:t>Door deze informatie actueel te houden en wijzigingen in reagentia, apparatuur en fabrikantinformatie te volgen, kunnen laboratoria risico's beter beoordelen en zorgprofessionals gerichter adviseren.</w:t>
      </w:r>
    </w:p>
    <w:p w14:paraId="3A4311EE" w14:textId="77777777" w:rsidR="003932A4" w:rsidRPr="003932A4" w:rsidRDefault="003932A4" w:rsidP="003932A4">
      <w:pPr>
        <w:rPr>
          <w:b/>
          <w:bCs/>
        </w:rPr>
      </w:pPr>
      <w:r w:rsidRPr="003932A4">
        <w:rPr>
          <w:b/>
          <w:bCs/>
        </w:rPr>
        <w:t>Conclusie</w:t>
      </w:r>
    </w:p>
    <w:p w14:paraId="3A13B6FF" w14:textId="77777777" w:rsidR="003932A4" w:rsidRPr="003932A4" w:rsidRDefault="003932A4" w:rsidP="003932A4">
      <w:r w:rsidRPr="003932A4">
        <w:t xml:space="preserve">Analytische interferenties vormen een belangrijk aandachtspunt bij de interpretatie van laboratoriumuitslagen. </w:t>
      </w:r>
      <w:proofErr w:type="spellStart"/>
      <w:r w:rsidRPr="003932A4">
        <w:t>Biotine</w:t>
      </w:r>
      <w:proofErr w:type="spellEnd"/>
      <w:r w:rsidRPr="003932A4">
        <w:t xml:space="preserve">, </w:t>
      </w:r>
      <w:proofErr w:type="spellStart"/>
      <w:r w:rsidRPr="003932A4">
        <w:t>DOAC's</w:t>
      </w:r>
      <w:proofErr w:type="spellEnd"/>
      <w:r w:rsidRPr="003932A4">
        <w:t>, bepaalde therapeutische antilichamen, heterofiele antistoffen en storende monstereigenschappen zijn voorbeelden van factoren die onder specifieke omstandigheden tot misleidende resultaten kunnen leiden.</w:t>
      </w:r>
    </w:p>
    <w:p w14:paraId="21601ED1" w14:textId="77777777" w:rsidR="003932A4" w:rsidRPr="003932A4" w:rsidRDefault="003932A4" w:rsidP="003932A4">
      <w:r w:rsidRPr="003932A4">
        <w:rPr>
          <w:b/>
          <w:bCs/>
        </w:rPr>
        <w:t>Een afwijkende uitslag moet daarom niet alleen in de klinische context worden beoordeeld, maar zo nodig ook vanuit het perspectief van de gebruikte meetmethode.</w:t>
      </w:r>
      <w:r w:rsidRPr="003932A4">
        <w:t xml:space="preserve"> Goede communicatie tussen aanvrager en laboratorium, actuele methode-informatie en een systematische aanpak dragen bij aan betrouwbare diagnostiek en veilige patiëntenzorg.</w:t>
      </w:r>
    </w:p>
    <w:p w14:paraId="2F92D261" w14:textId="77777777" w:rsidR="006A1C35" w:rsidRDefault="006A1C35"/>
    <w:sectPr w:rsidR="006A1C3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8AB67" w14:textId="77777777" w:rsidR="00BD1EB8" w:rsidRDefault="00BD1EB8" w:rsidP="00055748">
      <w:pPr>
        <w:spacing w:after="0" w:line="240" w:lineRule="auto"/>
      </w:pPr>
      <w:r>
        <w:separator/>
      </w:r>
    </w:p>
  </w:endnote>
  <w:endnote w:type="continuationSeparator" w:id="0">
    <w:p w14:paraId="7AD22D05" w14:textId="77777777" w:rsidR="00BD1EB8" w:rsidRDefault="00BD1EB8" w:rsidP="00055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0703E" w14:textId="77777777" w:rsidR="00BD1EB8" w:rsidRDefault="00BD1EB8" w:rsidP="00055748">
      <w:pPr>
        <w:spacing w:after="0" w:line="240" w:lineRule="auto"/>
      </w:pPr>
      <w:r>
        <w:separator/>
      </w:r>
    </w:p>
  </w:footnote>
  <w:footnote w:type="continuationSeparator" w:id="0">
    <w:p w14:paraId="15FC589A" w14:textId="77777777" w:rsidR="00BD1EB8" w:rsidRDefault="00BD1EB8" w:rsidP="00055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A7FD" w14:textId="46B16A2D" w:rsidR="00055748" w:rsidRDefault="00055748">
    <w:pPr>
      <w:pStyle w:val="Koptekst"/>
    </w:pPr>
    <w:r>
      <w:rPr>
        <w:noProof/>
      </w:rPr>
      <w:drawing>
        <wp:inline distT="0" distB="0" distL="0" distR="0" wp14:anchorId="57DA65A7" wp14:editId="62CB806F">
          <wp:extent cx="1784480" cy="685800"/>
          <wp:effectExtent l="0" t="0" r="6350" b="0"/>
          <wp:docPr id="6516963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96377" name="Afbeelding 651696377"/>
                  <pic:cNvPicPr/>
                </pic:nvPicPr>
                <pic:blipFill>
                  <a:blip r:embed="rId1">
                    <a:extLst>
                      <a:ext uri="{28A0092B-C50C-407E-A947-70E740481C1C}">
                        <a14:useLocalDpi xmlns:a14="http://schemas.microsoft.com/office/drawing/2010/main" val="0"/>
                      </a:ext>
                    </a:extLst>
                  </a:blip>
                  <a:stretch>
                    <a:fillRect/>
                  </a:stretch>
                </pic:blipFill>
                <pic:spPr>
                  <a:xfrm>
                    <a:off x="0" y="0"/>
                    <a:ext cx="1787732" cy="687050"/>
                  </a:xfrm>
                  <a:prstGeom prst="rect">
                    <a:avLst/>
                  </a:prstGeom>
                </pic:spPr>
              </pic:pic>
            </a:graphicData>
          </a:graphic>
        </wp:inline>
      </w:drawing>
    </w:r>
  </w:p>
  <w:p w14:paraId="1A209874" w14:textId="77777777" w:rsidR="00055748" w:rsidRDefault="00055748">
    <w:pPr>
      <w:pStyle w:val="Koptekst"/>
    </w:pPr>
  </w:p>
  <w:p>
    <w:r>
      <w:pict>
        <v:shape id="DocxSkillWatermark" o:spid="_x0000_s1025" type="#_x0000_t136" style="position:absolute;margin-left:0;margin-top:0;width:468pt;height:468pt;rotation:315;z-index:-251654144;mso-position-horizontal:center;mso-position-vertical:center;mso-wrap-edited:f;" fillcolor="#C0C0C0" stroked="f">
          <v:fill opacity="0.15"/>
          <v:textpath style="font-family:&quot;Calibri&quot;;font-size:1pt" string="© HUMICON B.V. - MEDISCHE LABORATORIA DR. STEIN &amp; COLLEGAE"/>
          <v:path textpatho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7B8"/>
    <w:multiLevelType w:val="multilevel"/>
    <w:tmpl w:val="7FD6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04C60"/>
    <w:multiLevelType w:val="multilevel"/>
    <w:tmpl w:val="8EB66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5C72C7"/>
    <w:multiLevelType w:val="multilevel"/>
    <w:tmpl w:val="38DA9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7506C"/>
    <w:multiLevelType w:val="multilevel"/>
    <w:tmpl w:val="0DB6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E2DF3"/>
    <w:multiLevelType w:val="multilevel"/>
    <w:tmpl w:val="F8AA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996E2B"/>
    <w:multiLevelType w:val="multilevel"/>
    <w:tmpl w:val="5396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034DCD"/>
    <w:multiLevelType w:val="multilevel"/>
    <w:tmpl w:val="1284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FC5C91"/>
    <w:multiLevelType w:val="multilevel"/>
    <w:tmpl w:val="E990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39383">
    <w:abstractNumId w:val="2"/>
  </w:num>
  <w:num w:numId="2" w16cid:durableId="1892570370">
    <w:abstractNumId w:val="5"/>
  </w:num>
  <w:num w:numId="3" w16cid:durableId="169030264">
    <w:abstractNumId w:val="0"/>
  </w:num>
  <w:num w:numId="4" w16cid:durableId="253902950">
    <w:abstractNumId w:val="7"/>
  </w:num>
  <w:num w:numId="5" w16cid:durableId="1382368457">
    <w:abstractNumId w:val="6"/>
  </w:num>
  <w:num w:numId="6" w16cid:durableId="1832287530">
    <w:abstractNumId w:val="3"/>
  </w:num>
  <w:num w:numId="7" w16cid:durableId="1527018753">
    <w:abstractNumId w:val="1"/>
  </w:num>
  <w:num w:numId="8" w16cid:durableId="1363049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1" w:formatting="0"/>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2A4"/>
    <w:rsid w:val="00055748"/>
    <w:rsid w:val="003932A4"/>
    <w:rsid w:val="006A1C35"/>
    <w:rsid w:val="007963CE"/>
    <w:rsid w:val="009636D8"/>
    <w:rsid w:val="00BD1EB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F9F79"/>
  <w15:chartTrackingRefBased/>
  <w15:docId w15:val="{04699B73-025C-4B51-BA83-04D0950BF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3932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932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932A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932A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932A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932A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932A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932A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932A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32A4"/>
    <w:rPr>
      <w:rFonts w:asciiTheme="majorHAnsi" w:eastAsiaTheme="majorEastAsia" w:hAnsiTheme="majorHAnsi" w:cstheme="majorBidi"/>
      <w:color w:val="2F5496" w:themeColor="accent1" w:themeShade="BF"/>
      <w:sz w:val="40"/>
      <w:szCs w:val="40"/>
      <w:lang w:val="nl-NL"/>
    </w:rPr>
  </w:style>
  <w:style w:type="character" w:customStyle="1" w:styleId="Kop2Char">
    <w:name w:val="Kop 2 Char"/>
    <w:basedOn w:val="Standaardalinea-lettertype"/>
    <w:link w:val="Kop2"/>
    <w:uiPriority w:val="9"/>
    <w:semiHidden/>
    <w:rsid w:val="003932A4"/>
    <w:rPr>
      <w:rFonts w:asciiTheme="majorHAnsi" w:eastAsiaTheme="majorEastAsia" w:hAnsiTheme="majorHAnsi" w:cstheme="majorBidi"/>
      <w:color w:val="2F5496" w:themeColor="accent1" w:themeShade="BF"/>
      <w:sz w:val="32"/>
      <w:szCs w:val="32"/>
      <w:lang w:val="nl-NL"/>
    </w:rPr>
  </w:style>
  <w:style w:type="character" w:customStyle="1" w:styleId="Kop3Char">
    <w:name w:val="Kop 3 Char"/>
    <w:basedOn w:val="Standaardalinea-lettertype"/>
    <w:link w:val="Kop3"/>
    <w:uiPriority w:val="9"/>
    <w:semiHidden/>
    <w:rsid w:val="003932A4"/>
    <w:rPr>
      <w:rFonts w:eastAsiaTheme="majorEastAsia" w:cstheme="majorBidi"/>
      <w:color w:val="2F5496" w:themeColor="accent1" w:themeShade="BF"/>
      <w:sz w:val="28"/>
      <w:szCs w:val="28"/>
      <w:lang w:val="nl-NL"/>
    </w:rPr>
  </w:style>
  <w:style w:type="character" w:customStyle="1" w:styleId="Kop4Char">
    <w:name w:val="Kop 4 Char"/>
    <w:basedOn w:val="Standaardalinea-lettertype"/>
    <w:link w:val="Kop4"/>
    <w:uiPriority w:val="9"/>
    <w:semiHidden/>
    <w:rsid w:val="003932A4"/>
    <w:rPr>
      <w:rFonts w:eastAsiaTheme="majorEastAsia" w:cstheme="majorBidi"/>
      <w:i/>
      <w:iCs/>
      <w:color w:val="2F5496" w:themeColor="accent1" w:themeShade="BF"/>
      <w:lang w:val="nl-NL"/>
    </w:rPr>
  </w:style>
  <w:style w:type="character" w:customStyle="1" w:styleId="Kop5Char">
    <w:name w:val="Kop 5 Char"/>
    <w:basedOn w:val="Standaardalinea-lettertype"/>
    <w:link w:val="Kop5"/>
    <w:uiPriority w:val="9"/>
    <w:semiHidden/>
    <w:rsid w:val="003932A4"/>
    <w:rPr>
      <w:rFonts w:eastAsiaTheme="majorEastAsia" w:cstheme="majorBidi"/>
      <w:color w:val="2F5496" w:themeColor="accent1" w:themeShade="BF"/>
      <w:lang w:val="nl-NL"/>
    </w:rPr>
  </w:style>
  <w:style w:type="character" w:customStyle="1" w:styleId="Kop6Char">
    <w:name w:val="Kop 6 Char"/>
    <w:basedOn w:val="Standaardalinea-lettertype"/>
    <w:link w:val="Kop6"/>
    <w:uiPriority w:val="9"/>
    <w:semiHidden/>
    <w:rsid w:val="003932A4"/>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3932A4"/>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3932A4"/>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3932A4"/>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393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932A4"/>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3932A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932A4"/>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3932A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932A4"/>
    <w:rPr>
      <w:i/>
      <w:iCs/>
      <w:color w:val="404040" w:themeColor="text1" w:themeTint="BF"/>
      <w:lang w:val="nl-NL"/>
    </w:rPr>
  </w:style>
  <w:style w:type="paragraph" w:styleId="Lijstalinea">
    <w:name w:val="List Paragraph"/>
    <w:basedOn w:val="Standaard"/>
    <w:uiPriority w:val="34"/>
    <w:qFormat/>
    <w:rsid w:val="003932A4"/>
    <w:pPr>
      <w:ind w:left="720"/>
      <w:contextualSpacing/>
    </w:pPr>
  </w:style>
  <w:style w:type="character" w:styleId="Intensievebenadrukking">
    <w:name w:val="Intense Emphasis"/>
    <w:basedOn w:val="Standaardalinea-lettertype"/>
    <w:uiPriority w:val="21"/>
    <w:qFormat/>
    <w:rsid w:val="003932A4"/>
    <w:rPr>
      <w:i/>
      <w:iCs/>
      <w:color w:val="2F5496" w:themeColor="accent1" w:themeShade="BF"/>
    </w:rPr>
  </w:style>
  <w:style w:type="paragraph" w:styleId="Duidelijkcitaat">
    <w:name w:val="Intense Quote"/>
    <w:basedOn w:val="Standaard"/>
    <w:next w:val="Standaard"/>
    <w:link w:val="DuidelijkcitaatChar"/>
    <w:uiPriority w:val="30"/>
    <w:qFormat/>
    <w:rsid w:val="003932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932A4"/>
    <w:rPr>
      <w:i/>
      <w:iCs/>
      <w:color w:val="2F5496" w:themeColor="accent1" w:themeShade="BF"/>
      <w:lang w:val="nl-NL"/>
    </w:rPr>
  </w:style>
  <w:style w:type="character" w:styleId="Intensieveverwijzing">
    <w:name w:val="Intense Reference"/>
    <w:basedOn w:val="Standaardalinea-lettertype"/>
    <w:uiPriority w:val="32"/>
    <w:qFormat/>
    <w:rsid w:val="003932A4"/>
    <w:rPr>
      <w:b/>
      <w:bCs/>
      <w:smallCaps/>
      <w:color w:val="2F5496" w:themeColor="accent1" w:themeShade="BF"/>
      <w:spacing w:val="5"/>
    </w:rPr>
  </w:style>
  <w:style w:type="paragraph" w:styleId="Koptekst">
    <w:name w:val="header"/>
    <w:basedOn w:val="Standaard"/>
    <w:link w:val="KoptekstChar"/>
    <w:uiPriority w:val="99"/>
    <w:unhideWhenUsed/>
    <w:rsid w:val="0005574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55748"/>
    <w:rPr>
      <w:lang w:val="nl-NL"/>
    </w:rPr>
  </w:style>
  <w:style w:type="paragraph" w:styleId="Voettekst">
    <w:name w:val="footer"/>
    <w:basedOn w:val="Standaard"/>
    <w:link w:val="VoettekstChar"/>
    <w:uiPriority w:val="99"/>
    <w:unhideWhenUsed/>
    <w:rsid w:val="0005574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55748"/>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5DF03E95B2654CABF407128771A28E" ma:contentTypeVersion="18" ma:contentTypeDescription="Create a new document." ma:contentTypeScope="" ma:versionID="4a61a1fdf72cfc7b43ab5aedebb92f27">
  <xsd:schema xmlns:xsd="http://www.w3.org/2001/XMLSchema" xmlns:xs="http://www.w3.org/2001/XMLSchema" xmlns:p="http://schemas.microsoft.com/office/2006/metadata/properties" xmlns:ns2="f0fb9164-50a2-4a07-bc19-317919d34af6" xmlns:ns3="454a390a-4782-4057-a43b-bc3c2fed18e9" targetNamespace="http://schemas.microsoft.com/office/2006/metadata/properties" ma:root="true" ma:fieldsID="b2cdae8df8fafc9cb29544847973f96a" ns2:_="" ns3:_="">
    <xsd:import namespace="f0fb9164-50a2-4a07-bc19-317919d34af6"/>
    <xsd:import namespace="454a390a-4782-4057-a43b-bc3c2fed18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b9164-50a2-4a07-bc19-317919d34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f49846d-4d6a-4dd9-9525-e4cca00588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a390a-4782-4057-a43b-bc3c2fed18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247c30e-b87f-439e-90e6-6195c3bac3b6}" ma:internalName="TaxCatchAll" ma:showField="CatchAllData" ma:web="454a390a-4782-4057-a43b-bc3c2fed18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fb9164-50a2-4a07-bc19-317919d34af6">
      <Terms xmlns="http://schemas.microsoft.com/office/infopath/2007/PartnerControls"/>
    </lcf76f155ced4ddcb4097134ff3c332f>
    <TaxCatchAll xmlns="454a390a-4782-4057-a43b-bc3c2fed18e9" xsi:nil="true"/>
  </documentManagement>
</p:properties>
</file>

<file path=customXml/itemProps1.xml><?xml version="1.0" encoding="utf-8"?>
<ds:datastoreItem xmlns:ds="http://schemas.openxmlformats.org/officeDocument/2006/customXml" ds:itemID="{A5ED8499-4C27-43E4-B725-E457555C7559}"/>
</file>

<file path=customXml/itemProps2.xml><?xml version="1.0" encoding="utf-8"?>
<ds:datastoreItem xmlns:ds="http://schemas.openxmlformats.org/officeDocument/2006/customXml" ds:itemID="{DEB59C21-8007-4F9B-B073-92BD71FD93B7}"/>
</file>

<file path=customXml/itemProps3.xml><?xml version="1.0" encoding="utf-8"?>
<ds:datastoreItem xmlns:ds="http://schemas.openxmlformats.org/officeDocument/2006/customXml" ds:itemID="{65ADCA0B-C029-45B1-9C8B-DC7A42FEB52D}"/>
</file>

<file path=docProps/app.xml><?xml version="1.0" encoding="utf-8"?>
<Properties xmlns="http://schemas.openxmlformats.org/officeDocument/2006/extended-properties" xmlns:vt="http://schemas.openxmlformats.org/officeDocument/2006/docPropsVTypes">
  <Template>Normal</Template>
  <TotalTime>0</TotalTime>
  <Pages>5</Pages>
  <Words>1232</Words>
  <Characters>9060</Characters>
  <Application>Microsoft Office Word</Application>
  <DocSecurity>0</DocSecurity>
  <Lines>151</Lines>
  <Paragraphs>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Linda Vleugels</dc:creator>
  <keywords/>
  <dc:description/>
  <lastModifiedBy>Linda Vleugels</lastModifiedBy>
  <revision>1</revision>
  <dcterms:created xsi:type="dcterms:W3CDTF">2026-10-14T07:16:02.8143659Z</dcterms:created>
  <dcterms:modified xsi:type="dcterms:W3CDTF">2026-10-14T07:16:02.8143659Z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0x010100105DF03E95B2654CABF407128771A28E</vt:lpwstr>
  </property>
</Properties>
</file>